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0D" w:rsidRPr="002D440D" w:rsidRDefault="002D440D" w:rsidP="002D440D">
      <w:pPr>
        <w:jc w:val="center"/>
        <w:rPr>
          <w:rFonts w:ascii="Arial" w:hAnsi="Arial"/>
          <w:bCs/>
          <w:iCs/>
          <w:szCs w:val="24"/>
          <w:lang w:val="en-GB"/>
        </w:rPr>
      </w:pPr>
      <w:r w:rsidRPr="002D440D">
        <w:rPr>
          <w:rFonts w:ascii="Arial" w:hAnsi="Arial"/>
          <w:bCs/>
          <w:iCs/>
          <w:szCs w:val="24"/>
          <w:lang w:val="en-GB"/>
        </w:rPr>
        <w:t xml:space="preserve">Genomic diversity of </w:t>
      </w:r>
      <w:proofErr w:type="spellStart"/>
      <w:r w:rsidRPr="002D440D">
        <w:rPr>
          <w:rFonts w:ascii="Arial" w:hAnsi="Arial"/>
          <w:bCs/>
          <w:i/>
          <w:iCs/>
          <w:szCs w:val="24"/>
          <w:lang w:val="en-GB"/>
        </w:rPr>
        <w:t>Dickeya</w:t>
      </w:r>
      <w:proofErr w:type="spellEnd"/>
      <w:r w:rsidRPr="002D440D">
        <w:rPr>
          <w:rFonts w:ascii="Arial" w:hAnsi="Arial"/>
          <w:bCs/>
          <w:iCs/>
          <w:szCs w:val="24"/>
          <w:lang w:val="en-GB"/>
        </w:rPr>
        <w:t xml:space="preserve"> species associated to potato</w:t>
      </w:r>
    </w:p>
    <w:p w:rsidR="002D440D" w:rsidRPr="00A47379" w:rsidRDefault="002D440D" w:rsidP="002D440D">
      <w:pPr>
        <w:spacing w:before="100" w:beforeAutospacing="1" w:after="100" w:afterAutospacing="1"/>
        <w:jc w:val="center"/>
        <w:outlineLvl w:val="2"/>
        <w:rPr>
          <w:rFonts w:ascii="Arial" w:eastAsia="Times New Roman" w:hAnsi="Arial"/>
          <w:bCs/>
          <w:sz w:val="20"/>
          <w:vertAlign w:val="superscript"/>
          <w:lang w:val="en-GB"/>
        </w:rPr>
      </w:pPr>
      <w:r w:rsidRPr="00A47379">
        <w:rPr>
          <w:rFonts w:ascii="Arial" w:eastAsia="Times New Roman" w:hAnsi="Arial"/>
          <w:bCs/>
          <w:sz w:val="20"/>
          <w:lang w:val="en-GB"/>
        </w:rPr>
        <w:t>Jacques Pédron</w:t>
      </w:r>
      <w:r w:rsidRPr="00A47379">
        <w:rPr>
          <w:rFonts w:ascii="Arial" w:eastAsia="Times New Roman" w:hAnsi="Arial"/>
          <w:bCs/>
          <w:sz w:val="20"/>
          <w:vertAlign w:val="superscript"/>
          <w:lang w:val="en-GB"/>
        </w:rPr>
        <w:t>1</w:t>
      </w:r>
      <w:r w:rsidRPr="00A47379">
        <w:rPr>
          <w:rFonts w:ascii="Arial" w:eastAsia="Times New Roman" w:hAnsi="Arial"/>
          <w:bCs/>
          <w:sz w:val="20"/>
          <w:lang w:val="en-GB"/>
        </w:rPr>
        <w:t xml:space="preserve">, </w:t>
      </w:r>
      <w:proofErr w:type="spellStart"/>
      <w:r w:rsidRPr="00A47379">
        <w:rPr>
          <w:rFonts w:ascii="Arial" w:eastAsia="Times New Roman" w:hAnsi="Arial"/>
          <w:bCs/>
          <w:sz w:val="20"/>
          <w:lang w:val="en-GB"/>
        </w:rPr>
        <w:t>Yannick</w:t>
      </w:r>
      <w:proofErr w:type="spellEnd"/>
      <w:r w:rsidRPr="00A47379">
        <w:rPr>
          <w:rFonts w:ascii="Arial" w:eastAsia="Times New Roman" w:hAnsi="Arial"/>
          <w:bCs/>
          <w:sz w:val="20"/>
          <w:lang w:val="en-GB"/>
        </w:rPr>
        <w:t xml:space="preserve"> Raoul des Essart</w:t>
      </w:r>
      <w:r w:rsidRPr="00A47379">
        <w:rPr>
          <w:rFonts w:ascii="Arial" w:eastAsia="Times New Roman" w:hAnsi="Arial"/>
          <w:bCs/>
          <w:sz w:val="20"/>
          <w:vertAlign w:val="superscript"/>
          <w:lang w:val="en-GB"/>
        </w:rPr>
        <w:t>2</w:t>
      </w:r>
      <w:proofErr w:type="gramStart"/>
      <w:r w:rsidRPr="00A47379">
        <w:rPr>
          <w:rFonts w:ascii="Arial" w:eastAsia="Times New Roman" w:hAnsi="Arial"/>
          <w:bCs/>
          <w:sz w:val="20"/>
          <w:vertAlign w:val="superscript"/>
          <w:lang w:val="en-GB"/>
        </w:rPr>
        <w:t>,3</w:t>
      </w:r>
      <w:proofErr w:type="gramEnd"/>
      <w:r w:rsidRPr="00A47379">
        <w:rPr>
          <w:rFonts w:ascii="Arial" w:eastAsia="Times New Roman" w:hAnsi="Arial"/>
          <w:bCs/>
          <w:sz w:val="20"/>
          <w:lang w:val="en-GB"/>
        </w:rPr>
        <w:t>, Denis Faure</w:t>
      </w:r>
      <w:r w:rsidRPr="00A47379">
        <w:rPr>
          <w:rFonts w:ascii="Arial" w:eastAsia="Times New Roman" w:hAnsi="Arial"/>
          <w:bCs/>
          <w:sz w:val="20"/>
          <w:vertAlign w:val="superscript"/>
          <w:lang w:val="en-GB"/>
        </w:rPr>
        <w:t xml:space="preserve">2 </w:t>
      </w:r>
      <w:r w:rsidRPr="00A47379">
        <w:rPr>
          <w:rFonts w:ascii="Arial" w:eastAsia="Times New Roman" w:hAnsi="Arial"/>
          <w:bCs/>
          <w:sz w:val="20"/>
          <w:lang w:val="en-GB"/>
        </w:rPr>
        <w:t xml:space="preserve">and </w:t>
      </w:r>
      <w:proofErr w:type="spellStart"/>
      <w:r w:rsidRPr="00A47379">
        <w:rPr>
          <w:rFonts w:ascii="Arial" w:eastAsia="Times New Roman" w:hAnsi="Arial"/>
          <w:b/>
          <w:bCs/>
          <w:sz w:val="20"/>
          <w:lang w:val="en-GB"/>
        </w:rPr>
        <w:t>Frédérique</w:t>
      </w:r>
      <w:proofErr w:type="spellEnd"/>
      <w:r w:rsidRPr="00A47379">
        <w:rPr>
          <w:rFonts w:ascii="Arial" w:eastAsia="Times New Roman" w:hAnsi="Arial"/>
          <w:b/>
          <w:bCs/>
          <w:sz w:val="20"/>
          <w:lang w:val="en-GB"/>
        </w:rPr>
        <w:t xml:space="preserve"> Van Gijsegem</w:t>
      </w:r>
      <w:r w:rsidRPr="00A47379">
        <w:rPr>
          <w:rFonts w:ascii="Arial" w:eastAsia="Times New Roman" w:hAnsi="Arial"/>
          <w:bCs/>
          <w:sz w:val="20"/>
          <w:vertAlign w:val="superscript"/>
          <w:lang w:val="en-GB"/>
        </w:rPr>
        <w:t>1</w:t>
      </w:r>
    </w:p>
    <w:p w:rsidR="002D440D" w:rsidRPr="00A47379" w:rsidRDefault="002D440D" w:rsidP="002D440D">
      <w:pPr>
        <w:spacing w:before="100" w:beforeAutospacing="1" w:after="100" w:afterAutospacing="1"/>
        <w:jc w:val="both"/>
        <w:outlineLvl w:val="2"/>
        <w:rPr>
          <w:rFonts w:ascii="Arial" w:eastAsia="Times New Roman" w:hAnsi="Arial"/>
          <w:bCs/>
          <w:sz w:val="20"/>
          <w:lang w:val="en-GB"/>
        </w:rPr>
      </w:pPr>
      <w:r w:rsidRPr="00A47379">
        <w:rPr>
          <w:rFonts w:ascii="Arial" w:eastAsia="Times New Roman" w:hAnsi="Arial"/>
          <w:bCs/>
          <w:sz w:val="20"/>
          <w:vertAlign w:val="superscript"/>
          <w:lang w:val="en-GB"/>
        </w:rPr>
        <w:t xml:space="preserve">1 </w:t>
      </w:r>
      <w:proofErr w:type="spellStart"/>
      <w:r w:rsidRPr="00A47379">
        <w:rPr>
          <w:rFonts w:ascii="Arial" w:hAnsi="Arial"/>
          <w:sz w:val="20"/>
          <w:lang w:val="en-GB"/>
        </w:rPr>
        <w:t>iEES</w:t>
      </w:r>
      <w:proofErr w:type="spellEnd"/>
      <w:r w:rsidRPr="00A47379">
        <w:rPr>
          <w:rFonts w:ascii="Arial" w:hAnsi="Arial"/>
          <w:sz w:val="20"/>
          <w:lang w:val="en-GB"/>
        </w:rPr>
        <w:t xml:space="preserve"> Paris (Institute of Ecology and Environmental Sciences), INRA-UPMC </w:t>
      </w:r>
      <w:proofErr w:type="spellStart"/>
      <w:r>
        <w:rPr>
          <w:rFonts w:ascii="Arial" w:hAnsi="Arial"/>
          <w:sz w:val="20"/>
          <w:lang w:val="en-GB"/>
        </w:rPr>
        <w:t>Université</w:t>
      </w:r>
      <w:proofErr w:type="spellEnd"/>
      <w:r>
        <w:rPr>
          <w:rFonts w:ascii="Arial" w:hAnsi="Arial"/>
          <w:sz w:val="20"/>
          <w:lang w:val="en-GB"/>
        </w:rPr>
        <w:t xml:space="preserve"> Paris 06, UMR 1392</w:t>
      </w:r>
      <w:r w:rsidRPr="00A47379">
        <w:rPr>
          <w:rFonts w:ascii="Arial" w:hAnsi="Arial"/>
          <w:sz w:val="20"/>
          <w:lang w:val="en-GB"/>
        </w:rPr>
        <w:t>, Paris, France </w:t>
      </w:r>
    </w:p>
    <w:p w:rsidR="002D440D" w:rsidRPr="00A47379" w:rsidRDefault="002D440D" w:rsidP="002D440D">
      <w:pPr>
        <w:spacing w:before="100" w:beforeAutospacing="1" w:after="100" w:afterAutospacing="1"/>
        <w:jc w:val="both"/>
        <w:outlineLvl w:val="2"/>
        <w:rPr>
          <w:rFonts w:ascii="Arial" w:hAnsi="Arial"/>
          <w:sz w:val="20"/>
          <w:lang w:val="en-GB"/>
        </w:rPr>
      </w:pPr>
      <w:bookmarkStart w:id="0" w:name="_GoBack"/>
      <w:r w:rsidRPr="00A47379">
        <w:rPr>
          <w:rFonts w:ascii="Arial" w:hAnsi="Arial"/>
          <w:sz w:val="20"/>
          <w:vertAlign w:val="superscript"/>
          <w:lang w:val="en-GB"/>
        </w:rPr>
        <w:t>2</w:t>
      </w:r>
      <w:r w:rsidRPr="00A47379">
        <w:rPr>
          <w:rFonts w:ascii="Arial" w:hAnsi="Arial"/>
          <w:sz w:val="20"/>
          <w:lang w:val="en-GB"/>
        </w:rPr>
        <w:t>Institut for Integrative Biology of the Cell (I2BC), CNRS-CEA-</w:t>
      </w:r>
      <w:proofErr w:type="spellStart"/>
      <w:r w:rsidRPr="00A47379">
        <w:rPr>
          <w:rFonts w:ascii="Arial" w:hAnsi="Arial"/>
          <w:sz w:val="20"/>
          <w:lang w:val="en-GB"/>
        </w:rPr>
        <w:t>Université</w:t>
      </w:r>
      <w:proofErr w:type="spellEnd"/>
      <w:r w:rsidRPr="00A47379">
        <w:rPr>
          <w:rFonts w:ascii="Arial" w:hAnsi="Arial"/>
          <w:sz w:val="20"/>
          <w:lang w:val="en-GB"/>
        </w:rPr>
        <w:t xml:space="preserve"> Paris-</w:t>
      </w:r>
      <w:proofErr w:type="spellStart"/>
      <w:r w:rsidRPr="00A47379">
        <w:rPr>
          <w:rFonts w:ascii="Arial" w:hAnsi="Arial"/>
          <w:sz w:val="20"/>
          <w:lang w:val="en-GB"/>
        </w:rPr>
        <w:t>Sud</w:t>
      </w:r>
      <w:proofErr w:type="spellEnd"/>
      <w:r w:rsidRPr="00A47379">
        <w:rPr>
          <w:rFonts w:ascii="Arial" w:hAnsi="Arial"/>
          <w:sz w:val="20"/>
          <w:lang w:val="en-GB"/>
        </w:rPr>
        <w:t xml:space="preserve">, </w:t>
      </w:r>
      <w:proofErr w:type="spellStart"/>
      <w:r w:rsidRPr="00A47379">
        <w:rPr>
          <w:rFonts w:ascii="Arial" w:hAnsi="Arial"/>
          <w:sz w:val="20"/>
          <w:lang w:val="en-GB"/>
        </w:rPr>
        <w:t>Saclay</w:t>
      </w:r>
      <w:proofErr w:type="spellEnd"/>
      <w:r w:rsidRPr="00A47379">
        <w:rPr>
          <w:rFonts w:ascii="Arial" w:hAnsi="Arial"/>
          <w:sz w:val="20"/>
          <w:lang w:val="en-GB"/>
        </w:rPr>
        <w:t xml:space="preserve"> Plant Sciences</w:t>
      </w:r>
      <w:bookmarkEnd w:id="0"/>
      <w:r w:rsidRPr="00A47379">
        <w:rPr>
          <w:rFonts w:ascii="Arial" w:hAnsi="Arial"/>
          <w:sz w:val="20"/>
          <w:lang w:val="en-GB"/>
        </w:rPr>
        <w:t>, UMR9198, Gif-</w:t>
      </w:r>
      <w:proofErr w:type="spellStart"/>
      <w:r w:rsidRPr="00A47379">
        <w:rPr>
          <w:rFonts w:ascii="Arial" w:hAnsi="Arial"/>
          <w:sz w:val="20"/>
          <w:lang w:val="en-GB"/>
        </w:rPr>
        <w:t>sur</w:t>
      </w:r>
      <w:proofErr w:type="spellEnd"/>
      <w:r w:rsidRPr="00A47379">
        <w:rPr>
          <w:rFonts w:ascii="Arial" w:hAnsi="Arial"/>
          <w:sz w:val="20"/>
          <w:lang w:val="en-GB"/>
        </w:rPr>
        <w:t xml:space="preserve">-Yvette </w:t>
      </w:r>
      <w:proofErr w:type="spellStart"/>
      <w:r w:rsidRPr="00A47379">
        <w:rPr>
          <w:rFonts w:ascii="Arial" w:hAnsi="Arial"/>
          <w:sz w:val="20"/>
          <w:lang w:val="en-GB"/>
        </w:rPr>
        <w:t>cedex</w:t>
      </w:r>
      <w:proofErr w:type="spellEnd"/>
      <w:r w:rsidRPr="00A47379">
        <w:rPr>
          <w:rFonts w:ascii="Arial" w:hAnsi="Arial"/>
          <w:sz w:val="20"/>
          <w:lang w:val="en-GB"/>
        </w:rPr>
        <w:t>, France</w:t>
      </w:r>
    </w:p>
    <w:p w:rsidR="002D440D" w:rsidRPr="00A47379" w:rsidRDefault="002D440D" w:rsidP="002D440D">
      <w:pPr>
        <w:spacing w:before="100" w:beforeAutospacing="1" w:after="100" w:afterAutospacing="1"/>
        <w:jc w:val="both"/>
        <w:outlineLvl w:val="2"/>
        <w:rPr>
          <w:rFonts w:ascii="Arial" w:hAnsi="Arial"/>
          <w:sz w:val="20"/>
          <w:lang w:val="en-GB"/>
        </w:rPr>
      </w:pPr>
      <w:r w:rsidRPr="00A47379">
        <w:rPr>
          <w:rFonts w:ascii="Arial" w:hAnsi="Arial"/>
          <w:sz w:val="20"/>
          <w:vertAlign w:val="superscript"/>
          <w:lang w:val="en-GB"/>
        </w:rPr>
        <w:t>3</w:t>
      </w:r>
      <w:r w:rsidRPr="00A47379">
        <w:rPr>
          <w:rFonts w:ascii="Arial" w:hAnsi="Arial"/>
          <w:sz w:val="20"/>
          <w:lang w:val="en-GB"/>
        </w:rPr>
        <w:t>Research, Development, Promotion of Seed Potatoes - French Federation of Seed Potato Growers (RD3PT-FN3PT), Paris, France</w:t>
      </w:r>
    </w:p>
    <w:p w:rsidR="002D440D" w:rsidRPr="001673D0" w:rsidRDefault="002D440D" w:rsidP="002D440D">
      <w:pPr>
        <w:jc w:val="both"/>
        <w:rPr>
          <w:rFonts w:ascii="Arial" w:hAnsi="Arial"/>
          <w:sz w:val="20"/>
          <w:lang w:val="en-GB"/>
        </w:rPr>
      </w:pPr>
      <w:r w:rsidRPr="00A47379">
        <w:rPr>
          <w:rFonts w:ascii="Arial" w:hAnsi="Arial" w:cs="Arial"/>
          <w:color w:val="000000"/>
          <w:sz w:val="20"/>
          <w:lang w:val="en-GB"/>
        </w:rPr>
        <w:t>Blackleg and soft rot diseases ca</w:t>
      </w:r>
      <w:r>
        <w:rPr>
          <w:rFonts w:ascii="Arial" w:hAnsi="Arial" w:cs="Arial"/>
          <w:color w:val="000000"/>
          <w:sz w:val="20"/>
          <w:lang w:val="en-GB"/>
        </w:rPr>
        <w:t xml:space="preserve">used by soft rot </w:t>
      </w:r>
      <w:proofErr w:type="spellStart"/>
      <w:r>
        <w:rPr>
          <w:rFonts w:ascii="Arial" w:hAnsi="Arial" w:cs="Arial"/>
          <w:color w:val="000000"/>
          <w:sz w:val="20"/>
          <w:lang w:val="en-GB"/>
        </w:rPr>
        <w:t>enterobacteria</w:t>
      </w:r>
      <w:proofErr w:type="spellEnd"/>
      <w:r>
        <w:rPr>
          <w:rFonts w:ascii="Arial" w:hAnsi="Arial" w:cs="Arial"/>
          <w:color w:val="000000"/>
          <w:sz w:val="20"/>
          <w:lang w:val="en-GB"/>
        </w:rPr>
        <w:t xml:space="preserve"> </w:t>
      </w:r>
      <w:r w:rsidRPr="00A47379">
        <w:rPr>
          <w:rFonts w:ascii="Arial" w:hAnsi="Arial" w:cs="Arial"/>
          <w:color w:val="000000"/>
          <w:sz w:val="20"/>
          <w:lang w:val="en-GB"/>
        </w:rPr>
        <w:t xml:space="preserve">provoke important losses in potato production worldwide and </w:t>
      </w:r>
      <w:r>
        <w:rPr>
          <w:rFonts w:ascii="Arial" w:hAnsi="Arial" w:cs="Arial"/>
          <w:color w:val="000000"/>
          <w:sz w:val="20"/>
          <w:lang w:val="en-GB"/>
        </w:rPr>
        <w:t xml:space="preserve">are the cause of </w:t>
      </w:r>
      <w:r w:rsidRPr="00A47379">
        <w:rPr>
          <w:rFonts w:ascii="Arial" w:hAnsi="Arial" w:cs="Arial"/>
          <w:color w:val="000000"/>
          <w:sz w:val="20"/>
          <w:lang w:val="en-GB"/>
        </w:rPr>
        <w:t xml:space="preserve">up to one third of the rejections of seed tubers lots in Europe.  </w:t>
      </w:r>
      <w:r>
        <w:rPr>
          <w:rFonts w:ascii="Arial" w:hAnsi="Arial"/>
          <w:sz w:val="20"/>
          <w:lang w:val="en-GB"/>
        </w:rPr>
        <w:t>M</w:t>
      </w:r>
      <w:r w:rsidRPr="00A47379">
        <w:rPr>
          <w:rFonts w:ascii="Arial" w:hAnsi="Arial"/>
          <w:sz w:val="20"/>
          <w:lang w:val="en-GB"/>
        </w:rPr>
        <w:t xml:space="preserve">odifications in the structure of pathogenic bacterial populations causing blackleg disease have been observed these last decades with the emergence of two </w:t>
      </w:r>
      <w:proofErr w:type="spellStart"/>
      <w:r w:rsidRPr="00A47379">
        <w:rPr>
          <w:rFonts w:ascii="Arial" w:hAnsi="Arial"/>
          <w:i/>
          <w:sz w:val="20"/>
          <w:lang w:val="en-GB"/>
        </w:rPr>
        <w:t>Dickeya</w:t>
      </w:r>
      <w:proofErr w:type="spellEnd"/>
      <w:r w:rsidRPr="00A47379">
        <w:rPr>
          <w:rFonts w:ascii="Arial" w:hAnsi="Arial"/>
          <w:sz w:val="20"/>
          <w:lang w:val="en-GB"/>
        </w:rPr>
        <w:t xml:space="preserve"> species </w:t>
      </w:r>
      <w:r>
        <w:rPr>
          <w:rFonts w:ascii="Arial" w:hAnsi="Arial"/>
          <w:sz w:val="20"/>
          <w:lang w:val="en-GB"/>
        </w:rPr>
        <w:t>–</w:t>
      </w:r>
      <w:r w:rsidRPr="00A47379">
        <w:rPr>
          <w:rFonts w:ascii="Arial" w:hAnsi="Arial"/>
          <w:sz w:val="20"/>
          <w:lang w:val="en-GB"/>
        </w:rPr>
        <w:t xml:space="preserve"> </w:t>
      </w:r>
      <w:r w:rsidRPr="00A47379">
        <w:rPr>
          <w:rFonts w:ascii="Arial" w:hAnsi="Arial"/>
          <w:i/>
          <w:sz w:val="20"/>
          <w:lang w:val="en-GB"/>
        </w:rPr>
        <w:t>D</w:t>
      </w:r>
      <w:r>
        <w:rPr>
          <w:rFonts w:ascii="Arial" w:hAnsi="Arial"/>
          <w:i/>
          <w:sz w:val="20"/>
          <w:lang w:val="en-GB"/>
        </w:rPr>
        <w:t>.</w:t>
      </w:r>
      <w:r w:rsidRPr="00A47379">
        <w:rPr>
          <w:rFonts w:ascii="Arial" w:hAnsi="Arial"/>
          <w:i/>
          <w:sz w:val="20"/>
          <w:lang w:val="en-GB"/>
        </w:rPr>
        <w:t xml:space="preserve"> </w:t>
      </w:r>
      <w:proofErr w:type="spellStart"/>
      <w:r w:rsidRPr="00A47379">
        <w:rPr>
          <w:rFonts w:ascii="Arial" w:hAnsi="Arial"/>
          <w:i/>
          <w:sz w:val="20"/>
          <w:lang w:val="en-GB"/>
        </w:rPr>
        <w:t>dianthicola</w:t>
      </w:r>
      <w:proofErr w:type="spellEnd"/>
      <w:r w:rsidRPr="00A47379">
        <w:rPr>
          <w:rFonts w:ascii="Arial" w:hAnsi="Arial"/>
          <w:i/>
          <w:sz w:val="20"/>
          <w:lang w:val="en-GB"/>
        </w:rPr>
        <w:t xml:space="preserve"> </w:t>
      </w:r>
      <w:r w:rsidRPr="00A47379">
        <w:rPr>
          <w:rFonts w:ascii="Arial" w:hAnsi="Arial"/>
          <w:sz w:val="20"/>
          <w:lang w:val="en-GB"/>
        </w:rPr>
        <w:t xml:space="preserve">and </w:t>
      </w:r>
      <w:r w:rsidRPr="00A47379">
        <w:rPr>
          <w:rFonts w:ascii="Arial" w:hAnsi="Arial"/>
          <w:i/>
          <w:sz w:val="20"/>
          <w:lang w:val="en-GB"/>
        </w:rPr>
        <w:t>D</w:t>
      </w:r>
      <w:r>
        <w:rPr>
          <w:rFonts w:ascii="Arial" w:hAnsi="Arial"/>
          <w:i/>
          <w:sz w:val="20"/>
          <w:lang w:val="en-GB"/>
        </w:rPr>
        <w:t>.</w:t>
      </w:r>
      <w:r w:rsidRPr="00A47379">
        <w:rPr>
          <w:rFonts w:ascii="Arial" w:hAnsi="Arial"/>
          <w:i/>
          <w:sz w:val="20"/>
          <w:lang w:val="en-GB"/>
        </w:rPr>
        <w:t xml:space="preserve"> </w:t>
      </w:r>
      <w:proofErr w:type="spellStart"/>
      <w:r w:rsidRPr="00A47379">
        <w:rPr>
          <w:rFonts w:ascii="Arial" w:hAnsi="Arial"/>
          <w:i/>
          <w:sz w:val="20"/>
          <w:lang w:val="en-GB"/>
        </w:rPr>
        <w:t>solani</w:t>
      </w:r>
      <w:proofErr w:type="spellEnd"/>
      <w:r>
        <w:rPr>
          <w:rFonts w:ascii="Arial" w:hAnsi="Arial"/>
          <w:sz w:val="20"/>
          <w:lang w:val="en-GB"/>
        </w:rPr>
        <w:t>.</w:t>
      </w:r>
      <w:r w:rsidRPr="00A47379">
        <w:rPr>
          <w:rFonts w:ascii="Arial" w:hAnsi="Arial"/>
          <w:sz w:val="20"/>
          <w:lang w:val="en-GB"/>
        </w:rPr>
        <w:t xml:space="preserve"> </w:t>
      </w:r>
      <w:r>
        <w:rPr>
          <w:rFonts w:ascii="Arial" w:hAnsi="Arial"/>
          <w:sz w:val="20"/>
          <w:lang w:val="en-GB"/>
        </w:rPr>
        <w:t xml:space="preserve">To tackle the putative genetic traits involved in this emergence, we undertook both intra- and inter-species genomic comparisons. While </w:t>
      </w:r>
      <w:r>
        <w:rPr>
          <w:rFonts w:ascii="Arial" w:hAnsi="Arial"/>
          <w:i/>
          <w:sz w:val="20"/>
          <w:lang w:val="en-GB"/>
        </w:rPr>
        <w:t xml:space="preserve">D. </w:t>
      </w:r>
      <w:proofErr w:type="spellStart"/>
      <w:r>
        <w:rPr>
          <w:rFonts w:ascii="Arial" w:hAnsi="Arial"/>
          <w:i/>
          <w:sz w:val="20"/>
          <w:lang w:val="en-GB"/>
        </w:rPr>
        <w:t>solani</w:t>
      </w:r>
      <w:proofErr w:type="spellEnd"/>
      <w:r>
        <w:rPr>
          <w:rFonts w:ascii="Arial" w:hAnsi="Arial"/>
          <w:sz w:val="20"/>
          <w:lang w:val="en-GB"/>
        </w:rPr>
        <w:t xml:space="preserve"> appeared to be mostly clonal (</w:t>
      </w:r>
      <w:proofErr w:type="spellStart"/>
      <w:r>
        <w:rPr>
          <w:rFonts w:ascii="Arial" w:hAnsi="Arial"/>
          <w:sz w:val="20"/>
          <w:lang w:val="en-GB"/>
        </w:rPr>
        <w:t>Khayi</w:t>
      </w:r>
      <w:proofErr w:type="spellEnd"/>
      <w:r>
        <w:rPr>
          <w:rFonts w:ascii="Arial" w:hAnsi="Arial"/>
          <w:sz w:val="20"/>
          <w:lang w:val="en-GB"/>
        </w:rPr>
        <w:t xml:space="preserve"> et al, 2015), </w:t>
      </w:r>
      <w:r>
        <w:rPr>
          <w:rFonts w:ascii="Arial" w:hAnsi="Arial"/>
          <w:i/>
          <w:sz w:val="20"/>
          <w:lang w:val="en-GB"/>
        </w:rPr>
        <w:t xml:space="preserve">D. </w:t>
      </w:r>
      <w:proofErr w:type="spellStart"/>
      <w:r>
        <w:rPr>
          <w:rFonts w:ascii="Arial" w:hAnsi="Arial"/>
          <w:i/>
          <w:sz w:val="20"/>
          <w:lang w:val="en-GB"/>
        </w:rPr>
        <w:t>dianthicola</w:t>
      </w:r>
      <w:proofErr w:type="spellEnd"/>
      <w:r>
        <w:rPr>
          <w:rFonts w:ascii="Arial" w:hAnsi="Arial"/>
          <w:sz w:val="20"/>
          <w:lang w:val="en-GB"/>
        </w:rPr>
        <w:t xml:space="preserve"> strains are more diverse. Both species harbour more than 3,000 interspecific common genes including the virulence genes characterized in the model </w:t>
      </w:r>
      <w:r>
        <w:rPr>
          <w:rFonts w:ascii="Arial" w:hAnsi="Arial"/>
          <w:i/>
          <w:sz w:val="20"/>
          <w:lang w:val="en-GB"/>
        </w:rPr>
        <w:t xml:space="preserve">D. </w:t>
      </w:r>
      <w:proofErr w:type="spellStart"/>
      <w:r>
        <w:rPr>
          <w:rFonts w:ascii="Arial" w:hAnsi="Arial"/>
          <w:i/>
          <w:sz w:val="20"/>
          <w:lang w:val="en-GB"/>
        </w:rPr>
        <w:t>dadantii</w:t>
      </w:r>
      <w:proofErr w:type="spellEnd"/>
      <w:r>
        <w:rPr>
          <w:rFonts w:ascii="Arial" w:hAnsi="Arial"/>
          <w:sz w:val="20"/>
          <w:lang w:val="en-GB"/>
        </w:rPr>
        <w:t xml:space="preserve"> 3937 strain.  Each species also possesses hundreds of specific genes that are often regrouped in genomic regions that may present signatures of horizontal transfer. To deepen our comparison of the two </w:t>
      </w:r>
      <w:proofErr w:type="spellStart"/>
      <w:r>
        <w:rPr>
          <w:rFonts w:ascii="Arial" w:hAnsi="Arial"/>
          <w:i/>
          <w:sz w:val="20"/>
          <w:lang w:val="en-GB"/>
        </w:rPr>
        <w:t>Dickeya</w:t>
      </w:r>
      <w:proofErr w:type="spellEnd"/>
      <w:r>
        <w:rPr>
          <w:rFonts w:ascii="Arial" w:hAnsi="Arial"/>
          <w:sz w:val="20"/>
          <w:lang w:val="en-GB"/>
        </w:rPr>
        <w:t xml:space="preserve"> species, we performed a </w:t>
      </w:r>
      <w:proofErr w:type="spellStart"/>
      <w:r>
        <w:rPr>
          <w:rFonts w:ascii="Arial" w:hAnsi="Arial"/>
          <w:sz w:val="20"/>
          <w:lang w:val="en-GB"/>
        </w:rPr>
        <w:t>transcriptomic</w:t>
      </w:r>
      <w:proofErr w:type="spellEnd"/>
      <w:r>
        <w:rPr>
          <w:rFonts w:ascii="Arial" w:hAnsi="Arial"/>
          <w:sz w:val="20"/>
          <w:lang w:val="en-GB"/>
        </w:rPr>
        <w:t xml:space="preserve"> analysis of one strain of each species after growth either in rich medium or on potato tubers. Several genes included in species-specific genomic regions were activated on tubers pointing to a possible role in interactions with plants. Interestingly, a few hundreds genes common to both species, including virulence genes, presented different expression profiles in the two species suggesting different adaptations to similar environmental conditions.</w:t>
      </w:r>
    </w:p>
    <w:p w:rsidR="007A2F87" w:rsidRDefault="007A2F87"/>
    <w:sectPr w:rsidR="007A2F87" w:rsidSect="00EF1C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0D"/>
    <w:rsid w:val="002D440D"/>
    <w:rsid w:val="007A2F87"/>
    <w:rsid w:val="00AA4FF5"/>
    <w:rsid w:val="00EF1C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0D"/>
    <w:rPr>
      <w:rFonts w:ascii="Times" w:eastAsia="Times"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0D"/>
    <w:rPr>
      <w:rFonts w:ascii="Times" w:eastAsia="Times"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1708</Characters>
  <Application>Microsoft Macintosh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dc:creator>
  <cp:keywords/>
  <dc:description/>
  <cp:lastModifiedBy>Frédérique</cp:lastModifiedBy>
  <cp:revision>2</cp:revision>
  <dcterms:created xsi:type="dcterms:W3CDTF">2018-05-25T11:12:00Z</dcterms:created>
  <dcterms:modified xsi:type="dcterms:W3CDTF">2018-05-25T11:12:00Z</dcterms:modified>
</cp:coreProperties>
</file>